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10" w:rsidRPr="00087BB4" w:rsidRDefault="00087BB4" w:rsidP="00087BB4">
      <w:pPr>
        <w:jc w:val="center"/>
        <w:rPr>
          <w:rFonts w:ascii="Century Gothic" w:hAnsi="Century Gothic"/>
          <w:i/>
          <w:sz w:val="20"/>
          <w:szCs w:val="20"/>
        </w:rPr>
      </w:pPr>
      <w:r w:rsidRPr="00087BB4">
        <w:rPr>
          <w:rFonts w:ascii="Century Gothic" w:hAnsi="Century Gothic"/>
          <w:i/>
          <w:sz w:val="20"/>
          <w:szCs w:val="20"/>
        </w:rPr>
        <w:t>The Great Gatsby</w:t>
      </w: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  <w:r w:rsidRPr="00087BB4">
        <w:rPr>
          <w:rFonts w:ascii="Century Gothic" w:hAnsi="Century Gothic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8pt;margin-top:14.75pt;width:463.25pt;height:25.7pt;z-index:251660288;mso-width-relative:margin;mso-height-relative:margin">
            <v:textbox>
              <w:txbxContent>
                <w:p w:rsidR="00087BB4" w:rsidRPr="00087BB4" w:rsidRDefault="00087BB4">
                  <w:pPr>
                    <w:rPr>
                      <w:b/>
                    </w:rPr>
                  </w:pPr>
                  <w:r w:rsidRPr="00087BB4">
                    <w:rPr>
                      <w:b/>
                    </w:rPr>
                    <w:t xml:space="preserve">                     From the Text</w:t>
                  </w:r>
                  <w:r w:rsidRPr="00087BB4">
                    <w:rPr>
                      <w:b/>
                    </w:rPr>
                    <w:tab/>
                  </w:r>
                  <w:r w:rsidRPr="00087BB4">
                    <w:rPr>
                      <w:b/>
                    </w:rPr>
                    <w:tab/>
                  </w:r>
                  <w:r w:rsidRPr="00087BB4">
                    <w:rPr>
                      <w:b/>
                    </w:rPr>
                    <w:tab/>
                  </w:r>
                  <w:r w:rsidRPr="00087BB4">
                    <w:rPr>
                      <w:b/>
                    </w:rPr>
                    <w:tab/>
                    <w:t>Connections/Reflections/Questions</w:t>
                  </w:r>
                </w:p>
              </w:txbxContent>
            </v:textbox>
          </v:shape>
        </w:pict>
      </w:r>
      <w:r w:rsidRPr="00087BB4">
        <w:rPr>
          <w:rFonts w:ascii="Century Gothic" w:hAnsi="Century Gothic"/>
          <w:sz w:val="20"/>
          <w:szCs w:val="20"/>
        </w:rPr>
        <w:t xml:space="preserve">Chapter 2 </w:t>
      </w: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  <w:sectPr w:rsidR="00087BB4" w:rsidRPr="00087BB4" w:rsidSect="001136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1945AF" w:rsidRPr="001945AF" w:rsidRDefault="0005542A" w:rsidP="001945AF">
      <w:pPr>
        <w:jc w:val="center"/>
        <w:rPr>
          <w:rFonts w:ascii="Century Gothic" w:hAnsi="Century Gothic"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>“This is the valley of ashes—a fantastic farm where ashes grow like wheat into ridges and hills and grotesque gardens; …of men who move dimly and already crumbling through the powdery air” (Fitzgerald 23).</w:t>
      </w:r>
      <w:r w:rsidR="001945AF" w:rsidRPr="001945AF">
        <w:rPr>
          <w:rFonts w:ascii="Century Gothic" w:hAnsi="Century Gothic"/>
          <w:sz w:val="16"/>
          <w:szCs w:val="16"/>
          <w:vertAlign w:val="subscript"/>
        </w:rPr>
        <w:t xml:space="preserve"> </w:t>
      </w:r>
      <w:r w:rsidR="001945AF" w:rsidRPr="00A179A2">
        <w:rPr>
          <w:rFonts w:ascii="Century Gothic" w:hAnsi="Century Gothic"/>
          <w:b/>
          <w:sz w:val="16"/>
          <w:szCs w:val="16"/>
          <w:vertAlign w:val="subscript"/>
        </w:rPr>
        <w:t>Setting and Symbolism</w:t>
      </w:r>
    </w:p>
    <w:p w:rsidR="00087BB4" w:rsidRDefault="00087BB4" w:rsidP="00087BB4">
      <w:pPr>
        <w:rPr>
          <w:rFonts w:ascii="Century Gothic" w:hAnsi="Century Gothic"/>
          <w:sz w:val="20"/>
          <w:szCs w:val="20"/>
        </w:rPr>
      </w:pPr>
    </w:p>
    <w:p w:rsidR="0005542A" w:rsidRDefault="0005542A" w:rsidP="00087BB4">
      <w:pPr>
        <w:rPr>
          <w:rFonts w:ascii="Century Gothic" w:hAnsi="Century Gothic"/>
          <w:sz w:val="20"/>
          <w:szCs w:val="20"/>
        </w:rPr>
      </w:pPr>
    </w:p>
    <w:p w:rsidR="001945AF" w:rsidRDefault="0005542A" w:rsidP="001945AF">
      <w:pPr>
        <w:rPr>
          <w:rFonts w:ascii="Century Gothic" w:hAnsi="Century Gothic"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>“But above the gray land and the spasms of bleak dust</w:t>
      </w:r>
      <w:r w:rsidR="001945AF">
        <w:rPr>
          <w:rFonts w:ascii="Century Gothic" w:hAnsi="Century Gothic"/>
          <w:sz w:val="20"/>
          <w:szCs w:val="20"/>
        </w:rPr>
        <w:t xml:space="preserve"> which drift endlessly over it, you perceive, after a moment, the eyes of Doctor T.J. </w:t>
      </w:r>
      <w:proofErr w:type="spellStart"/>
      <w:r w:rsidR="001945AF">
        <w:rPr>
          <w:rFonts w:ascii="Century Gothic" w:hAnsi="Century Gothic"/>
          <w:sz w:val="20"/>
          <w:szCs w:val="20"/>
        </w:rPr>
        <w:t>Eckleburg</w:t>
      </w:r>
      <w:proofErr w:type="spellEnd"/>
      <w:r w:rsidR="001945AF">
        <w:rPr>
          <w:rFonts w:ascii="Century Gothic" w:hAnsi="Century Gothic"/>
          <w:sz w:val="20"/>
          <w:szCs w:val="20"/>
        </w:rPr>
        <w:t>.  The eyes…look out of no face…” (Fitzgerald 23).</w:t>
      </w:r>
      <w:r w:rsidR="001945AF" w:rsidRPr="001945AF">
        <w:rPr>
          <w:rFonts w:ascii="Century Gothic" w:hAnsi="Century Gothic"/>
          <w:sz w:val="16"/>
          <w:szCs w:val="16"/>
          <w:vertAlign w:val="subscript"/>
        </w:rPr>
        <w:t xml:space="preserve"> </w:t>
      </w:r>
      <w:proofErr w:type="gramStart"/>
      <w:r w:rsidR="001945AF" w:rsidRPr="00A179A2">
        <w:rPr>
          <w:rFonts w:ascii="Century Gothic" w:hAnsi="Century Gothic"/>
          <w:b/>
          <w:sz w:val="16"/>
          <w:szCs w:val="16"/>
          <w:vertAlign w:val="subscript"/>
        </w:rPr>
        <w:t>symbolism</w:t>
      </w:r>
      <w:proofErr w:type="gramEnd"/>
    </w:p>
    <w:p w:rsidR="001945AF" w:rsidRDefault="001945AF" w:rsidP="001945AF">
      <w:pPr>
        <w:rPr>
          <w:rFonts w:ascii="Century Gothic" w:hAnsi="Century Gothic"/>
          <w:sz w:val="16"/>
          <w:szCs w:val="16"/>
          <w:vertAlign w:val="subscript"/>
        </w:rPr>
      </w:pPr>
    </w:p>
    <w:p w:rsidR="001945AF" w:rsidRPr="00A179A2" w:rsidRDefault="001945AF" w:rsidP="001945AF">
      <w:pPr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 xml:space="preserve">“Though I was curious to see her, I had no desire to meet her—but I did” (24).  </w:t>
      </w:r>
      <w:proofErr w:type="gramStart"/>
      <w:r w:rsidRPr="00A179A2">
        <w:rPr>
          <w:rFonts w:ascii="Century Gothic" w:hAnsi="Century Gothic"/>
          <w:b/>
          <w:sz w:val="16"/>
          <w:szCs w:val="16"/>
          <w:vertAlign w:val="subscript"/>
        </w:rPr>
        <w:t>development</w:t>
      </w:r>
      <w:proofErr w:type="gramEnd"/>
      <w:r w:rsidRPr="00A179A2">
        <w:rPr>
          <w:rFonts w:ascii="Century Gothic" w:hAnsi="Century Gothic"/>
          <w:b/>
          <w:sz w:val="16"/>
          <w:szCs w:val="16"/>
          <w:vertAlign w:val="subscript"/>
        </w:rPr>
        <w:t xml:space="preserve"> of character; connections to previous idea about judgment</w:t>
      </w:r>
      <w:r w:rsidR="00C00892" w:rsidRPr="00A179A2">
        <w:rPr>
          <w:rFonts w:ascii="Century Gothic" w:hAnsi="Century Gothic"/>
          <w:b/>
          <w:sz w:val="16"/>
          <w:szCs w:val="16"/>
          <w:vertAlign w:val="subscript"/>
        </w:rPr>
        <w:t>; syntax</w:t>
      </w:r>
    </w:p>
    <w:p w:rsidR="001945AF" w:rsidRDefault="001945AF" w:rsidP="001945AF">
      <w:pPr>
        <w:rPr>
          <w:rFonts w:ascii="Century Gothic" w:hAnsi="Century Gothic"/>
          <w:sz w:val="16"/>
          <w:szCs w:val="16"/>
          <w:vertAlign w:val="subscript"/>
        </w:rPr>
      </w:pPr>
    </w:p>
    <w:p w:rsidR="001945AF" w:rsidRPr="00C00892" w:rsidRDefault="001945AF" w:rsidP="001945AF">
      <w:pPr>
        <w:rPr>
          <w:rFonts w:ascii="Century Gothic" w:hAnsi="Century Gothic"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 xml:space="preserve">“The interior was </w:t>
      </w:r>
      <w:proofErr w:type="spellStart"/>
      <w:r>
        <w:rPr>
          <w:rFonts w:ascii="Century Gothic" w:hAnsi="Century Gothic"/>
          <w:sz w:val="20"/>
          <w:szCs w:val="20"/>
        </w:rPr>
        <w:t>unprosperous</w:t>
      </w:r>
      <w:proofErr w:type="spellEnd"/>
      <w:r>
        <w:rPr>
          <w:rFonts w:ascii="Century Gothic" w:hAnsi="Century Gothic"/>
          <w:sz w:val="20"/>
          <w:szCs w:val="20"/>
        </w:rPr>
        <w:t xml:space="preserve"> and bare; the only car visible was the dust-covered wreck of a Ford which crouched in a dim corner.  It had occurred to me that this shadow of a garage must be a blind…” (25).</w:t>
      </w:r>
      <w:r w:rsidR="00C00892">
        <w:rPr>
          <w:rFonts w:ascii="Century Gothic" w:hAnsi="Century Gothic"/>
          <w:sz w:val="20"/>
          <w:szCs w:val="20"/>
        </w:rPr>
        <w:t xml:space="preserve"> </w:t>
      </w:r>
      <w:r w:rsidR="00C00892" w:rsidRPr="00C00892">
        <w:rPr>
          <w:rFonts w:ascii="Century Gothic" w:hAnsi="Century Gothic"/>
          <w:b/>
          <w:sz w:val="16"/>
          <w:szCs w:val="16"/>
          <w:vertAlign w:val="subscript"/>
        </w:rPr>
        <w:t>setting</w:t>
      </w: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Pr="00A179A2" w:rsidRDefault="001945AF" w:rsidP="001945AF">
      <w:pPr>
        <w:rPr>
          <w:rFonts w:ascii="Century Gothic" w:hAnsi="Century Gothic"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 xml:space="preserve">“[George] was a blond, spiritless man, </w:t>
      </w:r>
      <w:proofErr w:type="spellStart"/>
      <w:r>
        <w:rPr>
          <w:rFonts w:ascii="Century Gothic" w:hAnsi="Century Gothic"/>
          <w:sz w:val="20"/>
          <w:szCs w:val="20"/>
        </w:rPr>
        <w:t>anaemic</w:t>
      </w:r>
      <w:proofErr w:type="spellEnd"/>
      <w:r>
        <w:rPr>
          <w:rFonts w:ascii="Century Gothic" w:hAnsi="Century Gothic"/>
          <w:sz w:val="20"/>
          <w:szCs w:val="20"/>
        </w:rPr>
        <w:t xml:space="preserve">, and faintly handsome.  </w:t>
      </w:r>
      <w:proofErr w:type="gramStart"/>
      <w:r>
        <w:rPr>
          <w:rFonts w:ascii="Century Gothic" w:hAnsi="Century Gothic"/>
          <w:sz w:val="20"/>
          <w:szCs w:val="20"/>
        </w:rPr>
        <w:t>When he saw us a damp gleam of hope sprang into his light blue eyes” (25).</w:t>
      </w:r>
      <w:proofErr w:type="gramEnd"/>
      <w:r w:rsidR="00A179A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179A2">
        <w:rPr>
          <w:rFonts w:ascii="Century Gothic" w:hAnsi="Century Gothic"/>
          <w:sz w:val="16"/>
          <w:szCs w:val="16"/>
          <w:vertAlign w:val="subscript"/>
        </w:rPr>
        <w:t>character</w:t>
      </w:r>
      <w:proofErr w:type="gramEnd"/>
      <w:r w:rsidR="00A179A2">
        <w:rPr>
          <w:rFonts w:ascii="Century Gothic" w:hAnsi="Century Gothic"/>
          <w:sz w:val="16"/>
          <w:szCs w:val="16"/>
          <w:vertAlign w:val="subscript"/>
        </w:rPr>
        <w:t xml:space="preserve"> development; reflect on Fitzgerald’s manipulation of the reader based on details</w:t>
      </w: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1945AF" w:rsidRDefault="001945AF" w:rsidP="001945AF">
      <w:pPr>
        <w:rPr>
          <w:rFonts w:ascii="Century Gothic" w:hAnsi="Century Gothic"/>
          <w:sz w:val="20"/>
          <w:szCs w:val="20"/>
        </w:rPr>
      </w:pPr>
    </w:p>
    <w:p w:rsidR="00CC4134" w:rsidRPr="00A179A2" w:rsidRDefault="001945AF" w:rsidP="001945AF">
      <w:pPr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“[T]he </w:t>
      </w:r>
      <w:proofErr w:type="spellStart"/>
      <w:r>
        <w:rPr>
          <w:rFonts w:ascii="Century Gothic" w:hAnsi="Century Gothic"/>
          <w:sz w:val="20"/>
          <w:szCs w:val="20"/>
        </w:rPr>
        <w:t>thickish</w:t>
      </w:r>
      <w:proofErr w:type="spellEnd"/>
      <w:r>
        <w:rPr>
          <w:rFonts w:ascii="Century Gothic" w:hAnsi="Century Gothic"/>
          <w:sz w:val="20"/>
          <w:szCs w:val="20"/>
        </w:rPr>
        <w:t xml:space="preserve"> figure of a woman blocked out the light from the office door.  She was in the middle thirties</w:t>
      </w:r>
      <w:r w:rsidR="00CC4134">
        <w:rPr>
          <w:rFonts w:ascii="Century Gothic" w:hAnsi="Century Gothic"/>
          <w:sz w:val="20"/>
          <w:szCs w:val="20"/>
        </w:rPr>
        <w:t>, and faintly, stout, but she carried her surplus flesh sensuously as some women can.  Her face…contained no facet or gleam of beauty…</w:t>
      </w:r>
      <w:proofErr w:type="gramStart"/>
      <w:r w:rsidR="00CC4134">
        <w:rPr>
          <w:rFonts w:ascii="Century Gothic" w:hAnsi="Century Gothic"/>
          <w:sz w:val="20"/>
          <w:szCs w:val="20"/>
        </w:rPr>
        <w:t>”(</w:t>
      </w:r>
      <w:proofErr w:type="gramEnd"/>
      <w:r w:rsidR="00CC4134">
        <w:rPr>
          <w:rFonts w:ascii="Century Gothic" w:hAnsi="Century Gothic"/>
          <w:sz w:val="20"/>
          <w:szCs w:val="20"/>
        </w:rPr>
        <w:t>25).</w:t>
      </w:r>
      <w:r w:rsidR="00A179A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179A2">
        <w:rPr>
          <w:rFonts w:ascii="Century Gothic" w:hAnsi="Century Gothic"/>
          <w:b/>
          <w:sz w:val="16"/>
          <w:szCs w:val="16"/>
          <w:vertAlign w:val="subscript"/>
        </w:rPr>
        <w:t>character</w:t>
      </w:r>
      <w:proofErr w:type="gramEnd"/>
      <w:r w:rsidR="00A179A2">
        <w:rPr>
          <w:rFonts w:ascii="Century Gothic" w:hAnsi="Century Gothic"/>
          <w:b/>
          <w:sz w:val="16"/>
          <w:szCs w:val="16"/>
          <w:vertAlign w:val="subscript"/>
        </w:rPr>
        <w:t xml:space="preserve"> development</w:t>
      </w:r>
    </w:p>
    <w:p w:rsidR="00CC4134" w:rsidRDefault="00CC4134" w:rsidP="001945AF">
      <w:pPr>
        <w:rPr>
          <w:rFonts w:ascii="Century Gothic" w:hAnsi="Century Gothic"/>
          <w:sz w:val="20"/>
          <w:szCs w:val="20"/>
        </w:rPr>
      </w:pPr>
    </w:p>
    <w:p w:rsidR="00CC4134" w:rsidRDefault="00CC4134" w:rsidP="001945AF">
      <w:pPr>
        <w:rPr>
          <w:rFonts w:ascii="Century Gothic" w:hAnsi="Century Gothic"/>
          <w:sz w:val="20"/>
          <w:szCs w:val="20"/>
        </w:rPr>
      </w:pPr>
    </w:p>
    <w:p w:rsidR="00CC4134" w:rsidRDefault="00CC4134" w:rsidP="001945AF">
      <w:pPr>
        <w:rPr>
          <w:rFonts w:ascii="Century Gothic" w:hAnsi="Century Gothic"/>
          <w:sz w:val="20"/>
          <w:szCs w:val="20"/>
        </w:rPr>
      </w:pPr>
    </w:p>
    <w:p w:rsidR="00CC4134" w:rsidRDefault="00CC4134" w:rsidP="001945AF">
      <w:pPr>
        <w:rPr>
          <w:rFonts w:ascii="Century Gothic" w:hAnsi="Century Gothic"/>
          <w:sz w:val="20"/>
          <w:szCs w:val="20"/>
        </w:rPr>
      </w:pPr>
    </w:p>
    <w:p w:rsidR="00CC4134" w:rsidRDefault="00CC4134" w:rsidP="001945AF">
      <w:pPr>
        <w:rPr>
          <w:rFonts w:ascii="Century Gothic" w:hAnsi="Century Gothic"/>
          <w:sz w:val="20"/>
          <w:szCs w:val="20"/>
        </w:rPr>
      </w:pPr>
    </w:p>
    <w:p w:rsidR="00CC4134" w:rsidRDefault="00CC4134" w:rsidP="001945AF">
      <w:pPr>
        <w:rPr>
          <w:rFonts w:ascii="Century Gothic" w:hAnsi="Century Gothic"/>
          <w:sz w:val="20"/>
          <w:szCs w:val="20"/>
        </w:rPr>
      </w:pPr>
    </w:p>
    <w:p w:rsidR="00CC4134" w:rsidRPr="00A179A2" w:rsidRDefault="00CC4134" w:rsidP="001945AF">
      <w:pPr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>“We drove over to Fifth Avenue, so warm and soft, almost pastoral, on the summer Sunday afternoon that I wouldn’t have been surprised to see a great flock of white sheep…’Hold on,’ I said, ‘I have to leave you here’” (28).</w:t>
      </w:r>
      <w:r w:rsidR="00A179A2">
        <w:rPr>
          <w:rFonts w:ascii="Century Gothic" w:hAnsi="Century Gothic"/>
          <w:sz w:val="20"/>
          <w:szCs w:val="20"/>
        </w:rPr>
        <w:t xml:space="preserve"> </w:t>
      </w:r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>Midwest morality</w:t>
      </w:r>
    </w:p>
    <w:p w:rsidR="001945AF" w:rsidRPr="00A179A2" w:rsidRDefault="00CC4134" w:rsidP="00087BB4">
      <w:pPr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>“[T]he cab stopped at one slice in a long white cake of apartment-houses.  Throwing a regal glance around the neighborhood, Mrs. Wilson gathered…her…purchases and when haughtily in” (28).</w:t>
      </w:r>
      <w:r w:rsidR="00A179A2">
        <w:rPr>
          <w:rFonts w:ascii="Century Gothic" w:hAnsi="Century Gothic"/>
          <w:b/>
          <w:sz w:val="16"/>
          <w:szCs w:val="16"/>
          <w:vertAlign w:val="subscript"/>
        </w:rPr>
        <w:t>symbol; diction; character</w:t>
      </w:r>
    </w:p>
    <w:p w:rsidR="001945AF" w:rsidRPr="00087BB4" w:rsidRDefault="001945AF" w:rsidP="00087BB4">
      <w:pPr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CC4134">
      <w:pPr>
        <w:rPr>
          <w:rFonts w:ascii="Century Gothic" w:hAnsi="Century Gothic"/>
          <w:sz w:val="20"/>
          <w:szCs w:val="20"/>
        </w:rPr>
      </w:pPr>
    </w:p>
    <w:p w:rsidR="00CC4134" w:rsidRPr="00A179A2" w:rsidRDefault="00C00892" w:rsidP="00CC4134">
      <w:pPr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>“’She’s a Catholic and they don’t belie</w:t>
      </w:r>
      <w:r w:rsidR="00A179A2">
        <w:rPr>
          <w:rFonts w:ascii="Century Gothic" w:hAnsi="Century Gothic"/>
          <w:sz w:val="20"/>
          <w:szCs w:val="20"/>
        </w:rPr>
        <w:t>ve in di</w:t>
      </w:r>
      <w:r>
        <w:rPr>
          <w:rFonts w:ascii="Century Gothic" w:hAnsi="Century Gothic"/>
          <w:sz w:val="20"/>
          <w:szCs w:val="20"/>
        </w:rPr>
        <w:t>vorce.’ Daisy was not a Catholic, and I was a little shocked at the elaborateness of the lie” (33).</w:t>
      </w:r>
      <w:r w:rsidR="00A179A2">
        <w:rPr>
          <w:rFonts w:ascii="Century Gothic" w:hAnsi="Century Gothic"/>
          <w:sz w:val="20"/>
          <w:szCs w:val="20"/>
        </w:rPr>
        <w:t xml:space="preserve"> </w:t>
      </w:r>
      <w:r w:rsidR="00A179A2">
        <w:rPr>
          <w:rFonts w:ascii="Century Gothic" w:hAnsi="Century Gothic"/>
          <w:b/>
          <w:sz w:val="16"/>
          <w:szCs w:val="16"/>
          <w:vertAlign w:val="subscript"/>
        </w:rPr>
        <w:t>Reader Response</w:t>
      </w: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</w:p>
    <w:p w:rsidR="00087BB4" w:rsidRPr="00A179A2" w:rsidRDefault="00CC4134" w:rsidP="00CC4134">
      <w:pPr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>George Wilson is a man Fitzgerald wants us to feel sympathy for</w:t>
      </w:r>
      <w:r w:rsidR="00A179A2">
        <w:rPr>
          <w:rFonts w:ascii="Century Gothic" w:hAnsi="Century Gothic"/>
          <w:sz w:val="16"/>
          <w:szCs w:val="16"/>
        </w:rPr>
        <w:t xml:space="preserve"> </w:t>
      </w:r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>on the opposite side, provide textual evidence to support this claim</w:t>
      </w: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</w:p>
    <w:p w:rsidR="00CC4134" w:rsidRPr="00087BB4" w:rsidRDefault="00CC4134" w:rsidP="00CC413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Myrtle believes she deserves better, especially when it comes to her socioeconomic class, and tries to make up for lost time in the flashy new rich style</w:t>
      </w:r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 xml:space="preserve"> on the opposite side, provide textual evidence to support this claim</w:t>
      </w: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CC4134">
      <w:pPr>
        <w:rPr>
          <w:rFonts w:ascii="Century Gothic" w:hAnsi="Century Gothic"/>
          <w:sz w:val="20"/>
          <w:szCs w:val="20"/>
        </w:rPr>
      </w:pPr>
    </w:p>
    <w:p w:rsidR="00C00892" w:rsidRDefault="00C00892" w:rsidP="00CC4134">
      <w:pPr>
        <w:rPr>
          <w:rFonts w:ascii="Century Gothic" w:hAnsi="Century Gothic"/>
          <w:sz w:val="20"/>
          <w:szCs w:val="20"/>
        </w:rPr>
      </w:pP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Fitzgerald provides details to indicate that Tom and Myrtle </w:t>
      </w:r>
      <w:proofErr w:type="gramStart"/>
      <w:r>
        <w:rPr>
          <w:rFonts w:ascii="Century Gothic" w:hAnsi="Century Gothic"/>
          <w:sz w:val="20"/>
          <w:szCs w:val="20"/>
        </w:rPr>
        <w:t>are</w:t>
      </w:r>
      <w:proofErr w:type="gramEnd"/>
      <w:r>
        <w:rPr>
          <w:rFonts w:ascii="Century Gothic" w:hAnsi="Century Gothic"/>
          <w:sz w:val="20"/>
          <w:szCs w:val="20"/>
        </w:rPr>
        <w:t xml:space="preserve"> not a natural match</w:t>
      </w:r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 xml:space="preserve"> on the opposite side, provide textual evidence to support this claim</w:t>
      </w: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</w:p>
    <w:p w:rsidR="00CC4134" w:rsidRDefault="00CC4134" w:rsidP="00CC413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Myrtle Wilson attempts to dress the part, but Tom doesn’t respect her or appear to see her as his equal</w:t>
      </w:r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 xml:space="preserve"> on the opposite side, provide textual evidence to support this claim</w:t>
      </w:r>
    </w:p>
    <w:p w:rsidR="00CC4134" w:rsidRDefault="00CC4134" w:rsidP="00087BB4">
      <w:pPr>
        <w:jc w:val="center"/>
        <w:rPr>
          <w:rFonts w:ascii="Century Gothic" w:hAnsi="Century Gothic"/>
          <w:sz w:val="20"/>
          <w:szCs w:val="20"/>
        </w:rPr>
      </w:pPr>
    </w:p>
    <w:p w:rsidR="00CC4134" w:rsidRDefault="00CC4134" w:rsidP="00087BB4">
      <w:pPr>
        <w:jc w:val="center"/>
        <w:rPr>
          <w:rFonts w:ascii="Century Gothic" w:hAnsi="Century Gothic"/>
          <w:sz w:val="20"/>
          <w:szCs w:val="20"/>
        </w:rPr>
      </w:pPr>
    </w:p>
    <w:p w:rsidR="00CC4134" w:rsidRDefault="00CC4134" w:rsidP="00087BB4">
      <w:pPr>
        <w:jc w:val="center"/>
        <w:rPr>
          <w:rFonts w:ascii="Century Gothic" w:hAnsi="Century Gothic"/>
          <w:sz w:val="20"/>
          <w:szCs w:val="20"/>
        </w:rPr>
      </w:pPr>
    </w:p>
    <w:p w:rsidR="00A179A2" w:rsidRDefault="00A179A2" w:rsidP="00C00892">
      <w:pPr>
        <w:rPr>
          <w:rFonts w:ascii="Century Gothic" w:hAnsi="Century Gothic"/>
          <w:sz w:val="20"/>
          <w:szCs w:val="20"/>
        </w:rPr>
      </w:pPr>
    </w:p>
    <w:p w:rsidR="00A179A2" w:rsidRDefault="00A179A2" w:rsidP="00C00892">
      <w:pPr>
        <w:rPr>
          <w:rFonts w:ascii="Century Gothic" w:hAnsi="Century Gothic"/>
          <w:sz w:val="20"/>
          <w:szCs w:val="20"/>
        </w:rPr>
      </w:pPr>
    </w:p>
    <w:p w:rsidR="00C00892" w:rsidRPr="00A179A2" w:rsidRDefault="00C00892" w:rsidP="00C00892">
      <w:pPr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>“‘I married him because I thought he was a gentleman…I thought he knew something about breeding, but he wasn’t fit to lick my shoe’” (34).</w:t>
      </w:r>
      <w:r w:rsidR="00A179A2">
        <w:rPr>
          <w:rFonts w:ascii="Century Gothic" w:hAnsi="Century Gothic"/>
          <w:sz w:val="20"/>
          <w:szCs w:val="20"/>
        </w:rPr>
        <w:t xml:space="preserve"> </w:t>
      </w:r>
      <w:r w:rsidR="00A179A2">
        <w:rPr>
          <w:rFonts w:ascii="Century Gothic" w:hAnsi="Century Gothic"/>
          <w:b/>
          <w:sz w:val="16"/>
          <w:szCs w:val="16"/>
          <w:vertAlign w:val="subscript"/>
        </w:rPr>
        <w:t>Reader Response; character development</w:t>
      </w: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Pr="00A179A2" w:rsidRDefault="00C00892" w:rsidP="00C00892">
      <w:pPr>
        <w:rPr>
          <w:rFonts w:ascii="Century Gothic" w:hAnsi="Century Gothic"/>
          <w:b/>
          <w:sz w:val="16"/>
          <w:szCs w:val="16"/>
          <w:vertAlign w:val="subscript"/>
        </w:rPr>
      </w:pPr>
      <w:proofErr w:type="gramStart"/>
      <w:r>
        <w:rPr>
          <w:rFonts w:ascii="Century Gothic" w:hAnsi="Century Gothic"/>
          <w:sz w:val="20"/>
          <w:szCs w:val="20"/>
        </w:rPr>
        <w:t>“Making a short deft movement, Tom Buchanan broke her nose with his open hand” (37).</w:t>
      </w:r>
      <w:proofErr w:type="gramEnd"/>
      <w:r w:rsidR="00A179A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A179A2">
        <w:rPr>
          <w:rFonts w:ascii="Century Gothic" w:hAnsi="Century Gothic"/>
          <w:b/>
          <w:sz w:val="16"/>
          <w:szCs w:val="16"/>
          <w:vertAlign w:val="subscript"/>
        </w:rPr>
        <w:t>syntax</w:t>
      </w:r>
      <w:proofErr w:type="gramEnd"/>
      <w:r w:rsidR="00A179A2">
        <w:rPr>
          <w:rFonts w:ascii="Century Gothic" w:hAnsi="Century Gothic"/>
          <w:b/>
          <w:sz w:val="16"/>
          <w:szCs w:val="16"/>
          <w:vertAlign w:val="subscript"/>
        </w:rPr>
        <w:t>; character development; connections to previous descriptions of Tom</w:t>
      </w: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</w:p>
    <w:p w:rsidR="00CC4134" w:rsidRDefault="00C00892" w:rsidP="00C00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The racial slurs are evidence of the racial divide of the time period</w:t>
      </w:r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 xml:space="preserve"> on the opposite </w:t>
      </w:r>
      <w:proofErr w:type="gramStart"/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>side,</w:t>
      </w:r>
      <w:proofErr w:type="gramEnd"/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 xml:space="preserve"> provide textual evidence to support this claim</w:t>
      </w:r>
    </w:p>
    <w:p w:rsidR="00CC4134" w:rsidRDefault="00CC4134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Pr="00A179A2" w:rsidRDefault="00C00892" w:rsidP="00C00892">
      <w:pPr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20"/>
          <w:szCs w:val="20"/>
        </w:rPr>
        <w:t>There are many references to the color yellow.  It might mean…b/c…</w:t>
      </w:r>
      <w:r w:rsidR="00A179A2">
        <w:rPr>
          <w:rFonts w:ascii="Century Gothic" w:hAnsi="Century Gothic"/>
          <w:b/>
          <w:sz w:val="16"/>
          <w:szCs w:val="16"/>
          <w:vertAlign w:val="subscript"/>
        </w:rPr>
        <w:t>In addition to the response you write here, provide textual support on the opposite side</w:t>
      </w: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A179A2" w:rsidRDefault="00A179A2" w:rsidP="00C00892">
      <w:pPr>
        <w:rPr>
          <w:rFonts w:ascii="Century Gothic" w:hAnsi="Century Gothic"/>
          <w:sz w:val="20"/>
          <w:szCs w:val="20"/>
        </w:rPr>
      </w:pPr>
    </w:p>
    <w:p w:rsidR="00C00892" w:rsidRDefault="00C00892" w:rsidP="00C00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the beginning of the novel, Nick said he had no more interest in the “abortive sorrows” of men (2).</w:t>
      </w:r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 xml:space="preserve"> </w:t>
      </w:r>
      <w:proofErr w:type="gramStart"/>
      <w:r w:rsidR="00A179A2">
        <w:rPr>
          <w:rFonts w:ascii="Century Gothic" w:hAnsi="Century Gothic"/>
          <w:b/>
          <w:sz w:val="16"/>
          <w:szCs w:val="16"/>
          <w:vertAlign w:val="subscript"/>
        </w:rPr>
        <w:t>reflect</w:t>
      </w:r>
      <w:proofErr w:type="gramEnd"/>
      <w:r w:rsidR="00A179A2">
        <w:rPr>
          <w:rFonts w:ascii="Century Gothic" w:hAnsi="Century Gothic"/>
          <w:b/>
          <w:sz w:val="16"/>
          <w:szCs w:val="16"/>
          <w:vertAlign w:val="subscript"/>
        </w:rPr>
        <w:t xml:space="preserve"> on the sorrows to which he may have gained insight based on this excursion; </w:t>
      </w:r>
      <w:r w:rsidR="00A179A2" w:rsidRPr="00A179A2">
        <w:rPr>
          <w:rFonts w:ascii="Century Gothic" w:hAnsi="Century Gothic"/>
          <w:b/>
          <w:sz w:val="16"/>
          <w:szCs w:val="16"/>
          <w:vertAlign w:val="subscript"/>
        </w:rPr>
        <w:t>on the opposite side, provide textual evidence to support this claim</w:t>
      </w: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00892" w:rsidRDefault="00C00892" w:rsidP="00087BB4">
      <w:pPr>
        <w:jc w:val="center"/>
        <w:rPr>
          <w:rFonts w:ascii="Century Gothic" w:hAnsi="Century Gothic"/>
          <w:sz w:val="20"/>
          <w:szCs w:val="20"/>
        </w:rPr>
      </w:pPr>
    </w:p>
    <w:p w:rsidR="00CC4134" w:rsidRPr="00087BB4" w:rsidRDefault="00CC4134" w:rsidP="00087BB4">
      <w:pPr>
        <w:jc w:val="center"/>
        <w:rPr>
          <w:rFonts w:ascii="Century Gothic" w:hAnsi="Century Gothic"/>
          <w:sz w:val="20"/>
          <w:szCs w:val="20"/>
        </w:rPr>
      </w:pPr>
    </w:p>
    <w:p w:rsidR="00087BB4" w:rsidRPr="00087BB4" w:rsidRDefault="00087BB4" w:rsidP="00087BB4">
      <w:pPr>
        <w:jc w:val="center"/>
        <w:rPr>
          <w:rFonts w:ascii="Century Gothic" w:hAnsi="Century Gothic"/>
          <w:sz w:val="20"/>
          <w:szCs w:val="20"/>
        </w:rPr>
        <w:sectPr w:rsidR="00087BB4" w:rsidRPr="00087BB4" w:rsidSect="00087BB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087BB4" w:rsidRDefault="00087BB4" w:rsidP="00087BB4">
      <w:pPr>
        <w:jc w:val="center"/>
        <w:rPr>
          <w:rFonts w:ascii="Century Gothic" w:hAnsi="Century Gothic"/>
          <w:sz w:val="20"/>
          <w:szCs w:val="20"/>
        </w:rPr>
      </w:pPr>
    </w:p>
    <w:p w:rsidR="00CC4134" w:rsidRDefault="00CC4134" w:rsidP="00087BB4">
      <w:pPr>
        <w:jc w:val="center"/>
        <w:rPr>
          <w:rFonts w:ascii="Century Gothic" w:hAnsi="Century Gothic"/>
          <w:sz w:val="20"/>
          <w:szCs w:val="20"/>
        </w:rPr>
      </w:pPr>
    </w:p>
    <w:p w:rsidR="00CC4134" w:rsidRPr="00087BB4" w:rsidRDefault="00CC4134" w:rsidP="00087BB4">
      <w:pPr>
        <w:jc w:val="center"/>
        <w:rPr>
          <w:rFonts w:ascii="Century Gothic" w:hAnsi="Century Gothic"/>
          <w:sz w:val="20"/>
          <w:szCs w:val="20"/>
        </w:rPr>
      </w:pPr>
    </w:p>
    <w:sectPr w:rsidR="00CC4134" w:rsidRPr="00087BB4" w:rsidSect="00087B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7BB4"/>
    <w:rsid w:val="0005542A"/>
    <w:rsid w:val="00087BB4"/>
    <w:rsid w:val="00113610"/>
    <w:rsid w:val="001945AF"/>
    <w:rsid w:val="00A179A2"/>
    <w:rsid w:val="00C00892"/>
    <w:rsid w:val="00CC4134"/>
    <w:rsid w:val="00F7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1</cp:revision>
  <dcterms:created xsi:type="dcterms:W3CDTF">2011-02-01T23:00:00Z</dcterms:created>
  <dcterms:modified xsi:type="dcterms:W3CDTF">2011-02-02T21:32:00Z</dcterms:modified>
</cp:coreProperties>
</file>